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7172" w14:textId="77777777" w:rsidR="0022631E" w:rsidRDefault="0022631E" w:rsidP="0022631E">
      <w:pPr>
        <w:jc w:val="both"/>
        <w:rPr>
          <w:rFonts w:ascii="Cambria" w:hAnsi="Cambria"/>
          <w:b/>
        </w:rPr>
      </w:pPr>
    </w:p>
    <w:p w14:paraId="4E420E76" w14:textId="77777777" w:rsidR="0022631E" w:rsidRDefault="0022631E" w:rsidP="0022631E">
      <w:pPr>
        <w:jc w:val="both"/>
        <w:rPr>
          <w:rFonts w:ascii="Cambria" w:hAnsi="Cambria"/>
          <w:b/>
        </w:rPr>
      </w:pPr>
    </w:p>
    <w:p w14:paraId="61E571C0" w14:textId="77777777" w:rsidR="003F7746" w:rsidRDefault="003F7746" w:rsidP="003F7746">
      <w:pPr>
        <w:rPr>
          <w:b/>
        </w:rPr>
      </w:pPr>
      <w:r w:rsidRPr="00B6098C">
        <w:rPr>
          <w:b/>
        </w:rPr>
        <w:t>THE F-DISTRIBUTION: IMPACT OF MINIMISING THE TOTAL LABORATORY ERROR</w:t>
      </w:r>
    </w:p>
    <w:p w14:paraId="3A49B1FC" w14:textId="77777777" w:rsidR="003F7746" w:rsidRPr="00A564E1" w:rsidRDefault="003F7746" w:rsidP="003F7746">
      <w:pPr>
        <w:spacing w:line="276" w:lineRule="auto"/>
        <w:jc w:val="both"/>
        <w:rPr>
          <w:vertAlign w:val="superscript"/>
        </w:rPr>
      </w:pPr>
      <w:r w:rsidRPr="00A564E1">
        <w:rPr>
          <w:b/>
        </w:rPr>
        <w:t>Authors</w:t>
      </w:r>
      <w:r w:rsidRPr="00A564E1">
        <w:t xml:space="preserve">: </w:t>
      </w:r>
      <w:r w:rsidRPr="00A564E1">
        <w:rPr>
          <w:u w:val="single"/>
        </w:rPr>
        <w:t>Mulindwa Muhammad</w:t>
      </w:r>
      <w:r>
        <w:rPr>
          <w:u w:val="single"/>
          <w:vertAlign w:val="superscript"/>
        </w:rPr>
        <w:t>1</w:t>
      </w:r>
      <w:r w:rsidRPr="00A564E1">
        <w:rPr>
          <w:vertAlign w:val="superscript"/>
        </w:rPr>
        <w:t>**</w:t>
      </w:r>
      <w:r w:rsidRPr="00A564E1">
        <w:t>, Maryanne Otieno</w:t>
      </w:r>
      <w:r w:rsidRPr="00A564E1">
        <w:rPr>
          <w:vertAlign w:val="superscript"/>
        </w:rPr>
        <w:t>1</w:t>
      </w:r>
    </w:p>
    <w:p w14:paraId="383DE537" w14:textId="77777777" w:rsidR="003F7746" w:rsidRPr="00A564E1" w:rsidRDefault="003F7746" w:rsidP="003F7746">
      <w:pPr>
        <w:spacing w:line="276" w:lineRule="auto"/>
        <w:jc w:val="both"/>
        <w:rPr>
          <w:vertAlign w:val="superscript"/>
        </w:rPr>
      </w:pPr>
      <w:r w:rsidRPr="00A564E1">
        <w:rPr>
          <w:b/>
        </w:rPr>
        <w:t>Affiliation</w:t>
      </w:r>
      <w:r w:rsidRPr="00A564E1">
        <w:t>: A Global Healthcare Public Foundation (The Foundation)</w:t>
      </w:r>
      <w:r w:rsidRPr="00A564E1">
        <w:rPr>
          <w:vertAlign w:val="superscript"/>
        </w:rPr>
        <w:t xml:space="preserve"> 1</w:t>
      </w:r>
    </w:p>
    <w:p w14:paraId="398F5290" w14:textId="77777777" w:rsidR="003F7746" w:rsidRPr="00A564E1" w:rsidRDefault="003F7746" w:rsidP="003F7746">
      <w:pPr>
        <w:spacing w:line="360" w:lineRule="auto"/>
        <w:jc w:val="both"/>
      </w:pPr>
      <w:hyperlink r:id="rId8" w:history="1">
        <w:r w:rsidRPr="000A29DC">
          <w:rPr>
            <w:rStyle w:val="Hyperlink"/>
          </w:rPr>
          <w:t>mmuhammad@aglobalhf.org</w:t>
        </w:r>
      </w:hyperlink>
      <w:r w:rsidRPr="00A564E1">
        <w:t xml:space="preserve">; </w:t>
      </w:r>
      <w:hyperlink r:id="rId9" w:history="1">
        <w:r w:rsidRPr="00A564E1">
          <w:rPr>
            <w:rStyle w:val="Hyperlink"/>
          </w:rPr>
          <w:t>maketch@aglobalhf.org</w:t>
        </w:r>
      </w:hyperlink>
      <w:r w:rsidRPr="00A564E1">
        <w:t xml:space="preserve"> </w:t>
      </w:r>
      <w:r>
        <w:t xml:space="preserve"> </w:t>
      </w:r>
    </w:p>
    <w:p w14:paraId="4A5F2126" w14:textId="77777777" w:rsidR="003F7746" w:rsidRPr="00B6098C" w:rsidRDefault="003F7746" w:rsidP="003F7746">
      <w:pPr>
        <w:rPr>
          <w:b/>
        </w:rPr>
      </w:pPr>
      <w:r w:rsidRPr="00B6098C">
        <w:rPr>
          <w:b/>
        </w:rPr>
        <w:t xml:space="preserve">Background: </w:t>
      </w:r>
    </w:p>
    <w:p w14:paraId="3E87898B" w14:textId="77777777" w:rsidR="003F7746" w:rsidRPr="00B6098C" w:rsidRDefault="003F7746" w:rsidP="003F7746">
      <w:pPr>
        <w:jc w:val="both"/>
      </w:pPr>
      <w:r w:rsidRPr="00B6098C">
        <w:t xml:space="preserve">The ISO 15189:2012 under section 5.5.1 and 5.6.2 requires the laboratory to verify selected methods and equipment and monitor the Internal Quality Control (IQC) data. One of the major performance characteristics in both method verification and QC monitoring is “the total error of the </w:t>
      </w:r>
      <w:r w:rsidRPr="00FE616E">
        <w:t>test”. In 1988, the Clinical Laboratory Improvement Act was passed that set the standards for the “total error limits” that are allowable for all clinical laboratory tests and later, the Westagard rules for QC monitoring were developed. This paper seeks to answer the question: What is the impact of minimising the total laboratory error on the overall distribution of laboratory test values with a focus on IQC values based on a study that was conducted in 2 laboratories in Uganda (from November 2015 to March 2016).</w:t>
      </w:r>
      <w:r w:rsidRPr="00B6098C">
        <w:t xml:space="preserve">   </w:t>
      </w:r>
    </w:p>
    <w:p w14:paraId="1B754F6B" w14:textId="77777777" w:rsidR="00005813" w:rsidRDefault="00005813" w:rsidP="003F7746">
      <w:pPr>
        <w:jc w:val="both"/>
        <w:rPr>
          <w:b/>
        </w:rPr>
      </w:pPr>
    </w:p>
    <w:p w14:paraId="70B4720F" w14:textId="77777777" w:rsidR="003F7746" w:rsidRPr="00B6098C" w:rsidRDefault="003F7746" w:rsidP="003F7746">
      <w:pPr>
        <w:jc w:val="both"/>
        <w:rPr>
          <w:b/>
        </w:rPr>
      </w:pPr>
      <w:r w:rsidRPr="00B6098C">
        <w:rPr>
          <w:b/>
        </w:rPr>
        <w:t xml:space="preserve">Methodology: </w:t>
      </w:r>
    </w:p>
    <w:p w14:paraId="55889E1D" w14:textId="77777777" w:rsidR="003F7746" w:rsidRPr="00B6098C" w:rsidRDefault="003F7746" w:rsidP="003F7746">
      <w:pPr>
        <w:jc w:val="both"/>
      </w:pPr>
      <w:r w:rsidRPr="00B6098C">
        <w:t xml:space="preserve">Two test platforms were selected for this analytical study, CD4 using the PIMA and Partec equipments, and CBC using the Sysmex and Humacount 60s equipment and their total errors estimated at baseline which on average was three quarters of the total error limits set by CLIA. </w:t>
      </w:r>
      <w:r>
        <w:t>A</w:t>
      </w:r>
      <w:r w:rsidRPr="00B6098C">
        <w:t>n improvement project was initiated to reduce the methods total error by improving the QMS and its impact on QC performance m</w:t>
      </w:r>
      <w:r>
        <w:t>onitored using the LJ charts</w:t>
      </w:r>
      <w:r w:rsidRPr="00B6098C">
        <w:t xml:space="preserve"> for a period of 5months for trends and patterns of distribution.  </w:t>
      </w:r>
    </w:p>
    <w:p w14:paraId="7E747F9A" w14:textId="77777777" w:rsidR="00005813" w:rsidRDefault="00005813" w:rsidP="003F7746">
      <w:pPr>
        <w:jc w:val="both"/>
        <w:rPr>
          <w:b/>
        </w:rPr>
      </w:pPr>
    </w:p>
    <w:p w14:paraId="75269154" w14:textId="77777777" w:rsidR="003F7746" w:rsidRPr="00B6098C" w:rsidRDefault="003F7746" w:rsidP="003F7746">
      <w:pPr>
        <w:jc w:val="both"/>
        <w:rPr>
          <w:b/>
        </w:rPr>
      </w:pPr>
      <w:r w:rsidRPr="00B6098C">
        <w:rPr>
          <w:b/>
        </w:rPr>
        <w:t xml:space="preserve">Results: </w:t>
      </w:r>
    </w:p>
    <w:p w14:paraId="63A238B4" w14:textId="77777777" w:rsidR="003F7746" w:rsidRPr="00B6098C" w:rsidRDefault="003F7746" w:rsidP="003F7746">
      <w:pPr>
        <w:jc w:val="both"/>
      </w:pPr>
      <w:r w:rsidRPr="00B6098C">
        <w:t>While monitoring the QC di</w:t>
      </w:r>
      <w:r>
        <w:t>stribution in the LJ chart</w:t>
      </w:r>
      <w:r w:rsidRPr="00B6098C">
        <w:t>, it was seen that as more efforts were made to improve the IQC system, the QC values shifted towards the 0.5SD quadr</w:t>
      </w:r>
      <w:r>
        <w:t xml:space="preserve">ant of the LJ </w:t>
      </w:r>
      <w:r w:rsidRPr="00B6098C">
        <w:t>chart</w:t>
      </w:r>
      <w:r>
        <w:t xml:space="preserve">. </w:t>
      </w:r>
      <w:r w:rsidRPr="00B6098C">
        <w:t xml:space="preserve">This led to two observed generalizations: </w:t>
      </w:r>
    </w:p>
    <w:p w14:paraId="61662E86" w14:textId="77777777" w:rsidR="003F7746" w:rsidRPr="00B6098C" w:rsidRDefault="003F7746" w:rsidP="003F7746">
      <w:pPr>
        <w:jc w:val="both"/>
        <w:rPr>
          <w:rFonts w:eastAsiaTheme="minorEastAsia"/>
        </w:rPr>
      </w:pPr>
      <w:r w:rsidRPr="00B6098C">
        <w:t>THE RULE OF NO-RULE that states that all QC measurements that fall in the 0.5SD range are immune to all QC-violation rules and take on a distribution (F</w:t>
      </w:r>
      <w:r w:rsidRPr="00B6098C">
        <w:rPr>
          <w:vertAlign w:val="subscript"/>
        </w:rPr>
        <w:t>(Xn)</w:t>
      </w:r>
      <w:r w:rsidRPr="00B6098C">
        <w:t xml:space="preserve">) that is inversely proportional to the total error (T) of that test. ie      </w:t>
      </w:r>
      <m:oMath>
        <m:r>
          <w:rPr>
            <w:rFonts w:ascii="Cambria Math" w:hAnsi="Cambria Math"/>
          </w:rPr>
          <m:t xml:space="preserve">F(xn) ∝ </m:t>
        </m:r>
        <m:f>
          <m:fPr>
            <m:ctrlPr>
              <w:rPr>
                <w:rFonts w:ascii="Cambria Math" w:hAnsi="Cambria Math"/>
                <w:i/>
              </w:rPr>
            </m:ctrlPr>
          </m:fPr>
          <m:num>
            <m:r>
              <w:rPr>
                <w:rFonts w:ascii="Cambria Math" w:hAnsi="Cambria Math"/>
              </w:rPr>
              <m:t>1</m:t>
            </m:r>
          </m:num>
          <m:den>
            <m:r>
              <w:rPr>
                <w:rFonts w:ascii="Cambria Math" w:hAnsi="Cambria Math"/>
              </w:rPr>
              <m:t>T</m:t>
            </m:r>
          </m:den>
        </m:f>
      </m:oMath>
    </w:p>
    <w:p w14:paraId="2813C26B" w14:textId="77777777" w:rsidR="003F7746" w:rsidRPr="00B6098C" w:rsidRDefault="003F7746" w:rsidP="003F7746">
      <w:pPr>
        <w:jc w:val="both"/>
        <w:rPr>
          <w:rFonts w:eastAsiaTheme="minorEastAsia"/>
        </w:rPr>
      </w:pPr>
      <w:r w:rsidRPr="00B6098C">
        <w:rPr>
          <w:rFonts w:eastAsiaTheme="minorEastAsia"/>
        </w:rPr>
        <w:t xml:space="preserve">THE RULE OF ZERO RANDOM ERROR states that for a large number of clinical measurements N, the Random error (RE) tends to zero such that the total error (T) is the total variance of the total mean square value from the sum of the squares of the mean. </w:t>
      </w:r>
    </w:p>
    <w:p w14:paraId="19164064" w14:textId="77777777" w:rsidR="003F7746" w:rsidRPr="00B6098C" w:rsidRDefault="003F7746" w:rsidP="003F7746">
      <w:pPr>
        <w:jc w:val="both"/>
        <w:rPr>
          <w:rFonts w:eastAsiaTheme="minorEastAsia"/>
        </w:rPr>
      </w:pPr>
      <w:r w:rsidRPr="00B6098C">
        <w:rPr>
          <w:rFonts w:eastAsiaTheme="minorEastAsia"/>
        </w:rPr>
        <w:t xml:space="preserve">ie, </w:t>
      </w:r>
      <m:oMath>
        <m:r>
          <w:rPr>
            <w:rFonts w:ascii="Cambria Math" w:eastAsiaTheme="minorEastAsia" w:hAnsi="Cambria Math"/>
          </w:rPr>
          <m:t>T= √δ</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oMath>
      <w:r w:rsidRPr="00B6098C">
        <w:rPr>
          <w:rFonts w:eastAsiaTheme="minorEastAsia"/>
        </w:rPr>
        <w:t xml:space="preserve">                       where, </w:t>
      </w:r>
      <m:oMath>
        <m:r>
          <w:rPr>
            <w:rFonts w:ascii="Cambria Math" w:eastAsiaTheme="minorEastAsia" w:hAnsi="Cambria Math"/>
          </w:rPr>
          <m:t>δ</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Σ</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(Σx)</m:t>
                    </m:r>
                  </m:e>
                  <m:sup>
                    <m:r>
                      <w:rPr>
                        <w:rFonts w:ascii="Cambria Math" w:eastAsiaTheme="minorEastAsia" w:hAnsi="Cambria Math"/>
                      </w:rPr>
                      <m:t>2</m:t>
                    </m:r>
                  </m:sup>
                </m:sSup>
              </m:num>
              <m:den>
                <m:r>
                  <w:rPr>
                    <w:rFonts w:ascii="Cambria Math" w:eastAsiaTheme="minorEastAsia" w:hAnsi="Cambria Math"/>
                  </w:rPr>
                  <m:t>N</m:t>
                </m:r>
              </m:den>
            </m:f>
          </m:num>
          <m:den>
            <m:r>
              <w:rPr>
                <w:rFonts w:ascii="Cambria Math" w:eastAsiaTheme="minorEastAsia" w:hAnsi="Cambria Math"/>
              </w:rPr>
              <m:t>N</m:t>
            </m:r>
          </m:den>
        </m:f>
      </m:oMath>
      <w:r w:rsidRPr="00B6098C">
        <w:rPr>
          <w:rFonts w:eastAsiaTheme="minorEastAsia"/>
        </w:rPr>
        <w:t xml:space="preserve">     </w:t>
      </w:r>
    </w:p>
    <w:p w14:paraId="56503EF0" w14:textId="77777777" w:rsidR="00005813" w:rsidRDefault="00005813" w:rsidP="003F7746">
      <w:pPr>
        <w:jc w:val="both"/>
        <w:rPr>
          <w:b/>
        </w:rPr>
      </w:pPr>
    </w:p>
    <w:p w14:paraId="05B0F4AE" w14:textId="77777777" w:rsidR="003F7746" w:rsidRPr="00B6098C" w:rsidRDefault="003F7746" w:rsidP="003F7746">
      <w:pPr>
        <w:jc w:val="both"/>
        <w:rPr>
          <w:b/>
        </w:rPr>
      </w:pPr>
      <w:bookmarkStart w:id="0" w:name="_GoBack"/>
      <w:bookmarkEnd w:id="0"/>
      <w:r w:rsidRPr="00B6098C">
        <w:rPr>
          <w:b/>
        </w:rPr>
        <w:t>Conclusions:</w:t>
      </w:r>
    </w:p>
    <w:p w14:paraId="70A75B19" w14:textId="77777777" w:rsidR="003F7746" w:rsidRPr="00B6098C" w:rsidRDefault="003F7746" w:rsidP="003F7746">
      <w:pPr>
        <w:jc w:val="both"/>
      </w:pPr>
      <w:r w:rsidRPr="00B6098C">
        <w:t xml:space="preserve">It is important for the laboratory to understand the relationship between IQC monitoring and method Total error. While setting QC goals and ranges, an understanding of the allowable error limits set by international standards and how to minimise errors, can help a lab set realistic goals and achieve the desired QC distribution (F) in the 0.5SD quantile and prevent wastage of QC </w:t>
      </w:r>
      <w:r w:rsidRPr="00B6098C">
        <w:lastRenderedPageBreak/>
        <w:t xml:space="preserve">materials through QC run rejections hence decreasing the cost of running their QC program while at the same time improving the reliability of the patient results. Secondly when designing a verification study, it may be acceptable to exclude within run precision since it tends to zero when you have a large number of measurements between days. This helps the laboratory to conform to the required standards while reducing the cost of reagents. </w:t>
      </w:r>
    </w:p>
    <w:p w14:paraId="0C072A84" w14:textId="77777777" w:rsidR="00425C48" w:rsidRDefault="00425C48" w:rsidP="006735CD">
      <w:pPr>
        <w:widowControl w:val="0"/>
        <w:autoSpaceDE w:val="0"/>
        <w:autoSpaceDN w:val="0"/>
        <w:adjustRightInd w:val="0"/>
        <w:spacing w:line="276" w:lineRule="auto"/>
        <w:rPr>
          <w:color w:val="000000"/>
          <w:sz w:val="28"/>
          <w:szCs w:val="28"/>
        </w:rPr>
      </w:pPr>
    </w:p>
    <w:sectPr w:rsidR="00425C48" w:rsidSect="00B618B0">
      <w:footerReference w:type="even" r:id="rId10"/>
      <w:footerReference w:type="default" r:id="rId11"/>
      <w:headerReference w:type="first" r:id="rId12"/>
      <w:footerReference w:type="first" r:id="rId13"/>
      <w:pgSz w:w="12240" w:h="15840"/>
      <w:pgMar w:top="1474" w:right="1440" w:bottom="1440" w:left="1440" w:header="792"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6F00C" w14:textId="77777777" w:rsidR="001E7E08" w:rsidRDefault="001E7E08">
      <w:r>
        <w:separator/>
      </w:r>
    </w:p>
  </w:endnote>
  <w:endnote w:type="continuationSeparator" w:id="0">
    <w:p w14:paraId="097DE67F" w14:textId="77777777" w:rsidR="001E7E08" w:rsidRDefault="001E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Candara">
    <w:panose1 w:val="020E0502030303020204"/>
    <w:charset w:val="00"/>
    <w:family w:val="auto"/>
    <w:pitch w:val="variable"/>
    <w:sig w:usb0="A00002EF" w:usb1="4000A44B" w:usb2="00000000" w:usb3="00000000" w:csb0="0000019F" w:csb1="00000000"/>
  </w:font>
  <w:font w:name="Gill Sans">
    <w:panose1 w:val="020B0502020104020203"/>
    <w:charset w:val="00"/>
    <w:family w:val="auto"/>
    <w:pitch w:val="variable"/>
    <w:sig w:usb0="80000267" w:usb1="00000000" w:usb2="00000000" w:usb3="00000000" w:csb0="000001F7" w:csb1="00000000"/>
  </w:font>
  <w:font w:name="Chalkduster">
    <w:altName w:val="Kristen ITC"/>
    <w:panose1 w:val="03050602040202020205"/>
    <w:charset w:val="00"/>
    <w:family w:val="auto"/>
    <w:pitch w:val="variable"/>
    <w:sig w:usb0="8000002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Garamond">
    <w:panose1 w:val="020204040303010108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6AA38" w14:textId="77777777" w:rsidR="00EF170B" w:rsidRDefault="00EF170B" w:rsidP="003C5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D2859" w14:textId="77777777" w:rsidR="00EF170B" w:rsidRDefault="00EF170B" w:rsidP="00EE47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DFA0B" w14:textId="77777777" w:rsidR="00EF170B" w:rsidRDefault="00EF170B" w:rsidP="003C5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813">
      <w:rPr>
        <w:rStyle w:val="PageNumber"/>
        <w:noProof/>
      </w:rPr>
      <w:t>2</w:t>
    </w:r>
    <w:r>
      <w:rPr>
        <w:rStyle w:val="PageNumber"/>
      </w:rPr>
      <w:fldChar w:fldCharType="end"/>
    </w:r>
  </w:p>
  <w:p w14:paraId="345E56A2" w14:textId="77777777" w:rsidR="00EF170B" w:rsidRDefault="00EF170B" w:rsidP="00EE475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6734D" w14:textId="399519DC" w:rsidR="00EF170B" w:rsidRPr="006F61EF" w:rsidRDefault="00EF170B" w:rsidP="009B3D0C">
    <w:pPr>
      <w:pStyle w:val="Footer"/>
      <w:jc w:val="center"/>
      <w:rPr>
        <w:rFonts w:ascii="Calibri" w:hAnsi="Calibri" w:cs="Gill Sans"/>
        <w:i/>
        <w:sz w:val="20"/>
      </w:rPr>
    </w:pPr>
    <w:r w:rsidRPr="006F61EF">
      <w:rPr>
        <w:rFonts w:ascii="Calibri" w:hAnsi="Calibri" w:cs="Gill Sans"/>
        <w:i/>
        <w:sz w:val="20"/>
      </w:rPr>
      <w:t>Tel</w:t>
    </w:r>
    <w:r w:rsidR="000B42A6">
      <w:rPr>
        <w:rFonts w:ascii="Calibri" w:hAnsi="Calibri" w:cs="Gill Sans"/>
        <w:i/>
        <w:sz w:val="20"/>
      </w:rPr>
      <w:t xml:space="preserve">: +256 414 53 1960  | E-mail: </w:t>
    </w:r>
    <w:r w:rsidRPr="006F61EF">
      <w:rPr>
        <w:rFonts w:ascii="Calibri" w:hAnsi="Calibri" w:cs="Gill Sans"/>
        <w:i/>
        <w:sz w:val="20"/>
      </w:rPr>
      <w:t xml:space="preserve">info@aglobalhf.org | Website: </w:t>
    </w:r>
    <w:hyperlink r:id="rId1" w:history="1">
      <w:r w:rsidRPr="006F61EF">
        <w:rPr>
          <w:rStyle w:val="Hyperlink"/>
          <w:rFonts w:ascii="Calibri" w:hAnsi="Calibri" w:cs="Gill Sans"/>
          <w:i/>
          <w:sz w:val="20"/>
        </w:rPr>
        <w:t>www.aglobalhf.org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C6DAE" w14:textId="77777777" w:rsidR="001E7E08" w:rsidRDefault="001E7E08">
      <w:r>
        <w:separator/>
      </w:r>
    </w:p>
  </w:footnote>
  <w:footnote w:type="continuationSeparator" w:id="0">
    <w:p w14:paraId="4ED4A957" w14:textId="77777777" w:rsidR="001E7E08" w:rsidRDefault="001E7E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244E6" w14:textId="77777777" w:rsidR="00EF170B" w:rsidRPr="00E502B8" w:rsidRDefault="00EF170B" w:rsidP="00F9559F">
    <w:pPr>
      <w:pStyle w:val="Footer"/>
      <w:tabs>
        <w:tab w:val="left" w:pos="90"/>
        <w:tab w:val="center" w:pos="5418"/>
      </w:tabs>
      <w:spacing w:line="276" w:lineRule="auto"/>
      <w:ind w:left="1620" w:right="-450" w:hanging="900"/>
      <w:jc w:val="center"/>
      <w:rPr>
        <w:rFonts w:ascii="Candara" w:hAnsi="Candara" w:cs="Gill Sans"/>
        <w:b/>
        <w:i/>
        <w:sz w:val="22"/>
      </w:rPr>
    </w:pPr>
    <w:r>
      <w:rPr>
        <w:rFonts w:ascii="Candara" w:hAnsi="Candara"/>
        <w:b/>
        <w:i/>
        <w:noProof/>
        <w:sz w:val="22"/>
      </w:rPr>
      <w:drawing>
        <wp:anchor distT="0" distB="0" distL="114300" distR="114300" simplePos="0" relativeHeight="251657728" behindDoc="1" locked="0" layoutInCell="1" allowOverlap="1" wp14:anchorId="7C0E118F" wp14:editId="42C48D84">
          <wp:simplePos x="0" y="0"/>
          <wp:positionH relativeFrom="column">
            <wp:posOffset>-339090</wp:posOffset>
          </wp:positionH>
          <wp:positionV relativeFrom="paragraph">
            <wp:posOffset>-174625</wp:posOffset>
          </wp:positionV>
          <wp:extent cx="910590" cy="929005"/>
          <wp:effectExtent l="0" t="0" r="3810" b="10795"/>
          <wp:wrapThrough wrapText="bothSides">
            <wp:wrapPolygon edited="0">
              <wp:start x="0" y="0"/>
              <wp:lineTo x="0" y="21260"/>
              <wp:lineTo x="21088" y="21260"/>
              <wp:lineTo x="2108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2B8">
      <w:rPr>
        <w:rFonts w:ascii="Candara" w:hAnsi="Candara" w:cs="Gill Sans"/>
        <w:b/>
        <w:i/>
        <w:color w:val="FF0000"/>
        <w:sz w:val="22"/>
      </w:rPr>
      <w:t xml:space="preserve">GLOBAL CLINICAL SERVICES  | </w:t>
    </w:r>
    <w:r w:rsidRPr="00E502B8">
      <w:rPr>
        <w:rFonts w:ascii="Candara" w:hAnsi="Candara" w:cs="Gill Sans"/>
        <w:b/>
        <w:i/>
        <w:color w:val="0000FF"/>
        <w:sz w:val="22"/>
      </w:rPr>
      <w:t xml:space="preserve">GLOBAL HEALTHCARE SERVICES  | </w:t>
    </w:r>
    <w:r w:rsidRPr="00E502B8">
      <w:rPr>
        <w:rFonts w:ascii="Candara" w:hAnsi="Candara" w:cs="Gill Sans"/>
        <w:b/>
        <w:i/>
        <w:sz w:val="22"/>
      </w:rPr>
      <w:t>GLOBAL INITIATIVE AWARD</w:t>
    </w:r>
  </w:p>
  <w:tbl>
    <w:tblPr>
      <w:tblpPr w:leftFromText="180" w:rightFromText="180" w:vertAnchor="text" w:horzAnchor="page" w:tblpX="2521" w:tblpY="-19"/>
      <w:tblW w:w="8460" w:type="dxa"/>
      <w:tblCellMar>
        <w:left w:w="0" w:type="dxa"/>
        <w:right w:w="0" w:type="dxa"/>
      </w:tblCellMar>
      <w:tblLook w:val="04A0" w:firstRow="1" w:lastRow="0" w:firstColumn="1" w:lastColumn="0" w:noHBand="0" w:noVBand="1"/>
    </w:tblPr>
    <w:tblGrid>
      <w:gridCol w:w="2520"/>
      <w:gridCol w:w="180"/>
      <w:gridCol w:w="2970"/>
      <w:gridCol w:w="180"/>
      <w:gridCol w:w="2610"/>
    </w:tblGrid>
    <w:tr w:rsidR="00EF170B" w:rsidRPr="00291B47" w14:paraId="67083F12" w14:textId="77777777" w:rsidTr="00E502B8">
      <w:trPr>
        <w:trHeight w:val="335"/>
      </w:trPr>
      <w:tc>
        <w:tcPr>
          <w:tcW w:w="2520" w:type="dxa"/>
          <w:shd w:val="clear" w:color="auto" w:fill="FF0000"/>
        </w:tcPr>
        <w:p w14:paraId="5A6A11C1" w14:textId="77777777" w:rsidR="00EF170B" w:rsidRPr="00AA2EA9" w:rsidRDefault="00EF170B" w:rsidP="00E502B8">
          <w:pPr>
            <w:tabs>
              <w:tab w:val="left" w:pos="180"/>
            </w:tabs>
            <w:ind w:left="-90" w:right="-273"/>
            <w:jc w:val="center"/>
            <w:rPr>
              <w:rFonts w:ascii="Gill Sans" w:hAnsi="Gill Sans" w:cs="Gill Sans"/>
              <w:color w:val="FFFFFF"/>
              <w:sz w:val="20"/>
              <w:szCs w:val="20"/>
            </w:rPr>
          </w:pPr>
        </w:p>
      </w:tc>
      <w:tc>
        <w:tcPr>
          <w:tcW w:w="180" w:type="dxa"/>
        </w:tcPr>
        <w:p w14:paraId="32381007" w14:textId="77777777" w:rsidR="00EF170B" w:rsidRPr="00AA2EA9" w:rsidRDefault="00EF170B" w:rsidP="00E502B8">
          <w:pPr>
            <w:ind w:left="-90" w:right="-273"/>
            <w:rPr>
              <w:rFonts w:ascii="Gill Sans" w:hAnsi="Gill Sans" w:cs="Gill Sans"/>
              <w:color w:val="FFFFFF"/>
              <w:sz w:val="20"/>
              <w:szCs w:val="20"/>
            </w:rPr>
          </w:pPr>
        </w:p>
      </w:tc>
      <w:tc>
        <w:tcPr>
          <w:tcW w:w="2970" w:type="dxa"/>
          <w:shd w:val="clear" w:color="auto" w:fill="0000FF"/>
        </w:tcPr>
        <w:p w14:paraId="2BCB9A23" w14:textId="77777777" w:rsidR="00EF170B" w:rsidRPr="00AA2EA9" w:rsidRDefault="00EF170B" w:rsidP="00E502B8">
          <w:pPr>
            <w:tabs>
              <w:tab w:val="left" w:pos="5850"/>
            </w:tabs>
            <w:ind w:left="-90" w:right="-273"/>
            <w:rPr>
              <w:rFonts w:ascii="Gill Sans" w:hAnsi="Gill Sans" w:cs="Gill Sans"/>
              <w:color w:val="FFFFFF"/>
              <w:sz w:val="20"/>
              <w:szCs w:val="20"/>
            </w:rPr>
          </w:pPr>
        </w:p>
      </w:tc>
      <w:tc>
        <w:tcPr>
          <w:tcW w:w="180" w:type="dxa"/>
        </w:tcPr>
        <w:p w14:paraId="3CE4F008" w14:textId="77777777" w:rsidR="00EF170B" w:rsidRPr="00291B47" w:rsidRDefault="00EF170B" w:rsidP="00E502B8">
          <w:pPr>
            <w:ind w:left="-90" w:right="-273"/>
            <w:rPr>
              <w:rFonts w:ascii="Gill Sans" w:hAnsi="Gill Sans" w:cs="Gill Sans"/>
              <w:sz w:val="20"/>
              <w:szCs w:val="20"/>
            </w:rPr>
          </w:pPr>
        </w:p>
      </w:tc>
      <w:tc>
        <w:tcPr>
          <w:tcW w:w="2610" w:type="dxa"/>
          <w:shd w:val="clear" w:color="auto" w:fill="000000"/>
        </w:tcPr>
        <w:p w14:paraId="35D9290A" w14:textId="77777777" w:rsidR="00EF170B" w:rsidRPr="00291B47" w:rsidRDefault="00EF170B" w:rsidP="00E502B8">
          <w:pPr>
            <w:ind w:left="-90" w:right="-273"/>
            <w:jc w:val="center"/>
            <w:rPr>
              <w:rFonts w:ascii="Gill Sans" w:hAnsi="Gill Sans" w:cs="Gill Sans"/>
              <w:sz w:val="20"/>
              <w:szCs w:val="20"/>
            </w:rPr>
          </w:pPr>
        </w:p>
      </w:tc>
    </w:tr>
  </w:tbl>
  <w:p w14:paraId="42687898" w14:textId="77777777" w:rsidR="00EF170B" w:rsidRDefault="00EF170B">
    <w:pPr>
      <w:rPr>
        <w:rFonts w:ascii="Candara" w:hAnsi="Candara" w:cs="Gill Sans"/>
        <w:b/>
        <w:color w:val="000000"/>
      </w:rPr>
    </w:pPr>
  </w:p>
  <w:p w14:paraId="3CE73E01" w14:textId="77777777" w:rsidR="00EF170B" w:rsidRPr="006F61EF" w:rsidRDefault="00EF170B" w:rsidP="00F9559F">
    <w:pPr>
      <w:jc w:val="center"/>
      <w:rPr>
        <w:rFonts w:ascii="Chalkduster" w:hAnsi="Chalkduster" w:cs="Apple Chancery"/>
        <w:b/>
        <w:i/>
        <w:color w:val="3366FF"/>
        <w:sz w:val="6"/>
        <w:szCs w:val="16"/>
      </w:rPr>
    </w:pPr>
    <w:r w:rsidRPr="006F61EF">
      <w:rPr>
        <w:rFonts w:ascii="Chalkduster" w:hAnsi="Chalkduster" w:cs="Apple Chancery"/>
        <w:b/>
        <w:i/>
        <w:color w:val="3366FF"/>
        <w:sz w:val="6"/>
        <w:szCs w:val="16"/>
      </w:rPr>
      <w:t xml:space="preserve">  </w:t>
    </w:r>
  </w:p>
  <w:p w14:paraId="0E427D97" w14:textId="73064255" w:rsidR="00EF170B" w:rsidRPr="000B42A6" w:rsidRDefault="00EF170B" w:rsidP="00F9559F">
    <w:pPr>
      <w:jc w:val="center"/>
      <w:rPr>
        <w:rFonts w:ascii="Garamond" w:hAnsi="Garamond" w:cs="Apple Chancery"/>
        <w:b/>
        <w:color w:val="2841FF"/>
        <w:sz w:val="26"/>
        <w:szCs w:val="26"/>
        <w:u w:val="single"/>
      </w:rPr>
    </w:pPr>
    <w:r w:rsidRPr="000B42A6">
      <w:rPr>
        <w:rFonts w:ascii="Chalkduster" w:hAnsi="Chalkduster" w:cs="Apple Chancery"/>
        <w:b/>
        <w:i/>
        <w:color w:val="2841FF"/>
        <w:sz w:val="26"/>
        <w:szCs w:val="26"/>
      </w:rPr>
      <w:t xml:space="preserve">   </w:t>
    </w:r>
    <w:r w:rsidR="000B42A6" w:rsidRPr="000B42A6">
      <w:rPr>
        <w:rFonts w:ascii="Chalkduster" w:hAnsi="Chalkduster" w:cs="Apple Chancery"/>
        <w:b/>
        <w:i/>
        <w:color w:val="2841FF"/>
        <w:sz w:val="26"/>
        <w:szCs w:val="26"/>
      </w:rPr>
      <w:t xml:space="preserve">     </w:t>
    </w:r>
    <w:r w:rsidRPr="000B42A6">
      <w:rPr>
        <w:rFonts w:ascii="Chalkduster" w:hAnsi="Chalkduster" w:cs="Apple Chancery"/>
        <w:b/>
        <w:i/>
        <w:color w:val="2841FF"/>
        <w:sz w:val="26"/>
        <w:szCs w:val="26"/>
      </w:rPr>
      <w:t xml:space="preserve"> </w:t>
    </w:r>
    <w:r w:rsidRPr="000B42A6">
      <w:rPr>
        <w:rFonts w:ascii="Garamond" w:hAnsi="Garamond" w:cs="Apple Chancery"/>
        <w:b/>
        <w:color w:val="2841FF"/>
        <w:sz w:val="26"/>
        <w:szCs w:val="26"/>
      </w:rPr>
      <w:t>“</w:t>
    </w:r>
    <w:r w:rsidRPr="000B42A6">
      <w:rPr>
        <w:rFonts w:ascii="Garamond" w:hAnsi="Garamond" w:cs="Apple Chancery"/>
        <w:b/>
        <w:color w:val="2841FF"/>
        <w:sz w:val="26"/>
        <w:szCs w:val="26"/>
        <w:u w:val="single"/>
      </w:rPr>
      <w:t>Improving the Quality of Life”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E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A31C0"/>
    <w:multiLevelType w:val="hybridMultilevel"/>
    <w:tmpl w:val="46D83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141D9"/>
    <w:multiLevelType w:val="hybridMultilevel"/>
    <w:tmpl w:val="47BA21C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E45C2E"/>
    <w:multiLevelType w:val="hybridMultilevel"/>
    <w:tmpl w:val="47BA21C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B71AB8"/>
    <w:multiLevelType w:val="hybridMultilevel"/>
    <w:tmpl w:val="419A0756"/>
    <w:lvl w:ilvl="0" w:tplc="B74699CC">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4B49F0"/>
    <w:multiLevelType w:val="hybridMultilevel"/>
    <w:tmpl w:val="ADEEFD48"/>
    <w:lvl w:ilvl="0" w:tplc="3686252C">
      <w:start w:val="1"/>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3C0E5D"/>
    <w:multiLevelType w:val="hybridMultilevel"/>
    <w:tmpl w:val="52D08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3A2881"/>
    <w:multiLevelType w:val="hybridMultilevel"/>
    <w:tmpl w:val="47BA21C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89C663D"/>
    <w:multiLevelType w:val="hybridMultilevel"/>
    <w:tmpl w:val="144AD6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510B9"/>
    <w:multiLevelType w:val="hybridMultilevel"/>
    <w:tmpl w:val="47D076C6"/>
    <w:lvl w:ilvl="0" w:tplc="D91CBC3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437B15C2"/>
    <w:multiLevelType w:val="hybridMultilevel"/>
    <w:tmpl w:val="47BA21C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C9A7008"/>
    <w:multiLevelType w:val="hybridMultilevel"/>
    <w:tmpl w:val="64F0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A0373"/>
    <w:multiLevelType w:val="hybridMultilevel"/>
    <w:tmpl w:val="1C067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BD67AB"/>
    <w:multiLevelType w:val="hybridMultilevel"/>
    <w:tmpl w:val="A8066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313E1"/>
    <w:multiLevelType w:val="hybridMultilevel"/>
    <w:tmpl w:val="C2DAC0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0446BB7"/>
    <w:multiLevelType w:val="hybridMultilevel"/>
    <w:tmpl w:val="3F78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9D7E43"/>
    <w:multiLevelType w:val="hybridMultilevel"/>
    <w:tmpl w:val="6458029E"/>
    <w:lvl w:ilvl="0" w:tplc="2116CF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72B55"/>
    <w:multiLevelType w:val="hybridMultilevel"/>
    <w:tmpl w:val="D4E26D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54C8D490">
      <w:start w:val="237"/>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1D2189"/>
    <w:multiLevelType w:val="hybridMultilevel"/>
    <w:tmpl w:val="5E6E1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59223D"/>
    <w:multiLevelType w:val="hybridMultilevel"/>
    <w:tmpl w:val="47BA21C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4CF73BB"/>
    <w:multiLevelType w:val="hybridMultilevel"/>
    <w:tmpl w:val="38E4F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12"/>
  </w:num>
  <w:num w:numId="4">
    <w:abstractNumId w:val="3"/>
  </w:num>
  <w:num w:numId="5">
    <w:abstractNumId w:val="2"/>
  </w:num>
  <w:num w:numId="6">
    <w:abstractNumId w:val="19"/>
  </w:num>
  <w:num w:numId="7">
    <w:abstractNumId w:val="10"/>
  </w:num>
  <w:num w:numId="8">
    <w:abstractNumId w:val="0"/>
  </w:num>
  <w:num w:numId="9">
    <w:abstractNumId w:val="9"/>
  </w:num>
  <w:num w:numId="10">
    <w:abstractNumId w:val="15"/>
  </w:num>
  <w:num w:numId="11">
    <w:abstractNumId w:val="13"/>
  </w:num>
  <w:num w:numId="12">
    <w:abstractNumId w:val="17"/>
  </w:num>
  <w:num w:numId="13">
    <w:abstractNumId w:val="11"/>
  </w:num>
  <w:num w:numId="14">
    <w:abstractNumId w:val="18"/>
  </w:num>
  <w:num w:numId="15">
    <w:abstractNumId w:val="16"/>
  </w:num>
  <w:num w:numId="16">
    <w:abstractNumId w:val="1"/>
  </w:num>
  <w:num w:numId="17">
    <w:abstractNumId w:val="20"/>
  </w:num>
  <w:num w:numId="18">
    <w:abstractNumId w:val="8"/>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34"/>
    <w:rsid w:val="00005813"/>
    <w:rsid w:val="00017A1A"/>
    <w:rsid w:val="00035103"/>
    <w:rsid w:val="00067892"/>
    <w:rsid w:val="000965BC"/>
    <w:rsid w:val="00096BE4"/>
    <w:rsid w:val="000B42A6"/>
    <w:rsid w:val="000B4F6C"/>
    <w:rsid w:val="000D41F5"/>
    <w:rsid w:val="000E0C18"/>
    <w:rsid w:val="000F6C06"/>
    <w:rsid w:val="00101F5C"/>
    <w:rsid w:val="00166CB2"/>
    <w:rsid w:val="001834CC"/>
    <w:rsid w:val="001D382D"/>
    <w:rsid w:val="001D4434"/>
    <w:rsid w:val="001E7E08"/>
    <w:rsid w:val="00225F2C"/>
    <w:rsid w:val="0022631E"/>
    <w:rsid w:val="002355D6"/>
    <w:rsid w:val="002545EA"/>
    <w:rsid w:val="002D68AA"/>
    <w:rsid w:val="00305AC9"/>
    <w:rsid w:val="00345E6C"/>
    <w:rsid w:val="00376050"/>
    <w:rsid w:val="00397174"/>
    <w:rsid w:val="003A1F2F"/>
    <w:rsid w:val="003C3626"/>
    <w:rsid w:val="003C5557"/>
    <w:rsid w:val="003F7746"/>
    <w:rsid w:val="00400D32"/>
    <w:rsid w:val="00417945"/>
    <w:rsid w:val="00425C48"/>
    <w:rsid w:val="00465C82"/>
    <w:rsid w:val="004900AD"/>
    <w:rsid w:val="004B38F3"/>
    <w:rsid w:val="004C352D"/>
    <w:rsid w:val="004C5E0E"/>
    <w:rsid w:val="004D56FD"/>
    <w:rsid w:val="004D7184"/>
    <w:rsid w:val="004E4D85"/>
    <w:rsid w:val="004F657A"/>
    <w:rsid w:val="00512985"/>
    <w:rsid w:val="005135A5"/>
    <w:rsid w:val="00544B94"/>
    <w:rsid w:val="00555FEF"/>
    <w:rsid w:val="00573930"/>
    <w:rsid w:val="00593D35"/>
    <w:rsid w:val="005A0A6C"/>
    <w:rsid w:val="005A1C5E"/>
    <w:rsid w:val="00631C51"/>
    <w:rsid w:val="0064291F"/>
    <w:rsid w:val="006441A0"/>
    <w:rsid w:val="00654A91"/>
    <w:rsid w:val="006645FD"/>
    <w:rsid w:val="0066485F"/>
    <w:rsid w:val="006735CD"/>
    <w:rsid w:val="00675381"/>
    <w:rsid w:val="006C3D33"/>
    <w:rsid w:val="006F61EF"/>
    <w:rsid w:val="00714BF9"/>
    <w:rsid w:val="00731B14"/>
    <w:rsid w:val="007667B8"/>
    <w:rsid w:val="007A4D39"/>
    <w:rsid w:val="007B42BB"/>
    <w:rsid w:val="007E76E0"/>
    <w:rsid w:val="00800847"/>
    <w:rsid w:val="008129DA"/>
    <w:rsid w:val="0082321D"/>
    <w:rsid w:val="00840AFF"/>
    <w:rsid w:val="008415F5"/>
    <w:rsid w:val="00870466"/>
    <w:rsid w:val="00886C60"/>
    <w:rsid w:val="008C1E33"/>
    <w:rsid w:val="008C76B5"/>
    <w:rsid w:val="009219D9"/>
    <w:rsid w:val="00922FF8"/>
    <w:rsid w:val="00931D27"/>
    <w:rsid w:val="009348F3"/>
    <w:rsid w:val="00957A12"/>
    <w:rsid w:val="00965762"/>
    <w:rsid w:val="009A54D0"/>
    <w:rsid w:val="009B3D0C"/>
    <w:rsid w:val="009C4601"/>
    <w:rsid w:val="009D0A98"/>
    <w:rsid w:val="009D31CC"/>
    <w:rsid w:val="009E0AD9"/>
    <w:rsid w:val="00A06177"/>
    <w:rsid w:val="00A16169"/>
    <w:rsid w:val="00A2309E"/>
    <w:rsid w:val="00A233B5"/>
    <w:rsid w:val="00A31D3D"/>
    <w:rsid w:val="00A36C55"/>
    <w:rsid w:val="00A73329"/>
    <w:rsid w:val="00A74747"/>
    <w:rsid w:val="00AA2EA9"/>
    <w:rsid w:val="00AE71D8"/>
    <w:rsid w:val="00B117D2"/>
    <w:rsid w:val="00B16561"/>
    <w:rsid w:val="00B201D2"/>
    <w:rsid w:val="00B35FF5"/>
    <w:rsid w:val="00B618B0"/>
    <w:rsid w:val="00B66082"/>
    <w:rsid w:val="00BC0F50"/>
    <w:rsid w:val="00BD403D"/>
    <w:rsid w:val="00BE65FD"/>
    <w:rsid w:val="00BF46C3"/>
    <w:rsid w:val="00C309DC"/>
    <w:rsid w:val="00C37B0E"/>
    <w:rsid w:val="00C4732D"/>
    <w:rsid w:val="00C5511A"/>
    <w:rsid w:val="00C75738"/>
    <w:rsid w:val="00C940FD"/>
    <w:rsid w:val="00CC5088"/>
    <w:rsid w:val="00CD2E98"/>
    <w:rsid w:val="00CE20BF"/>
    <w:rsid w:val="00CF3AE7"/>
    <w:rsid w:val="00D15D7E"/>
    <w:rsid w:val="00D16533"/>
    <w:rsid w:val="00D9558D"/>
    <w:rsid w:val="00DC0280"/>
    <w:rsid w:val="00DC0519"/>
    <w:rsid w:val="00DD0FCE"/>
    <w:rsid w:val="00DE3706"/>
    <w:rsid w:val="00DF22FB"/>
    <w:rsid w:val="00E1222B"/>
    <w:rsid w:val="00E12542"/>
    <w:rsid w:val="00E25842"/>
    <w:rsid w:val="00E27A75"/>
    <w:rsid w:val="00E31109"/>
    <w:rsid w:val="00E445CC"/>
    <w:rsid w:val="00E45E3A"/>
    <w:rsid w:val="00E502B8"/>
    <w:rsid w:val="00E57677"/>
    <w:rsid w:val="00E6683E"/>
    <w:rsid w:val="00E82AF2"/>
    <w:rsid w:val="00EA733F"/>
    <w:rsid w:val="00EC5E1F"/>
    <w:rsid w:val="00EE475D"/>
    <w:rsid w:val="00EF170B"/>
    <w:rsid w:val="00EF49D6"/>
    <w:rsid w:val="00F01086"/>
    <w:rsid w:val="00F1501D"/>
    <w:rsid w:val="00F22E24"/>
    <w:rsid w:val="00F300A2"/>
    <w:rsid w:val="00F57E50"/>
    <w:rsid w:val="00F8681D"/>
    <w:rsid w:val="00F9559F"/>
    <w:rsid w:val="00FA3CB5"/>
    <w:rsid w:val="00FC60BA"/>
    <w:rsid w:val="00FD1226"/>
    <w:rsid w:val="00FD68ED"/>
    <w:rsid w:val="00FE1DCD"/>
    <w:rsid w:val="00FE4D34"/>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AC1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082"/>
    <w:rPr>
      <w:sz w:val="24"/>
      <w:szCs w:val="24"/>
    </w:rPr>
  </w:style>
  <w:style w:type="paragraph" w:styleId="Heading2">
    <w:name w:val="heading 2"/>
    <w:basedOn w:val="Normal"/>
    <w:next w:val="Normal"/>
    <w:link w:val="Heading2Char"/>
    <w:qFormat/>
    <w:rsid w:val="00C4732D"/>
    <w:pPr>
      <w:keepNext/>
      <w:spacing w:before="240" w:after="60"/>
      <w:outlineLvl w:val="1"/>
    </w:pPr>
    <w:rPr>
      <w:rFonts w:ascii="Arial" w:hAnsi="Arial"/>
      <w:b/>
      <w:i/>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D34"/>
    <w:rPr>
      <w:color w:val="0000FF"/>
      <w:u w:val="single"/>
    </w:rPr>
  </w:style>
  <w:style w:type="paragraph" w:styleId="Header">
    <w:name w:val="header"/>
    <w:basedOn w:val="Normal"/>
    <w:rsid w:val="00EE475D"/>
    <w:pPr>
      <w:tabs>
        <w:tab w:val="center" w:pos="4320"/>
        <w:tab w:val="right" w:pos="8640"/>
      </w:tabs>
    </w:pPr>
  </w:style>
  <w:style w:type="paragraph" w:styleId="Footer">
    <w:name w:val="footer"/>
    <w:basedOn w:val="Normal"/>
    <w:link w:val="FooterChar"/>
    <w:rsid w:val="00EE475D"/>
    <w:pPr>
      <w:tabs>
        <w:tab w:val="center" w:pos="4320"/>
        <w:tab w:val="right" w:pos="8640"/>
      </w:tabs>
    </w:pPr>
  </w:style>
  <w:style w:type="character" w:styleId="PageNumber">
    <w:name w:val="page number"/>
    <w:basedOn w:val="DefaultParagraphFont"/>
    <w:rsid w:val="00EE475D"/>
  </w:style>
  <w:style w:type="paragraph" w:styleId="NoSpacing">
    <w:name w:val="No Spacing"/>
    <w:link w:val="NoSpacingChar"/>
    <w:uiPriority w:val="1"/>
    <w:qFormat/>
    <w:rsid w:val="00931D27"/>
    <w:rPr>
      <w:rFonts w:ascii="Calibri" w:hAnsi="Calibri"/>
      <w:sz w:val="22"/>
      <w:szCs w:val="22"/>
    </w:rPr>
  </w:style>
  <w:style w:type="character" w:customStyle="1" w:styleId="NoSpacingChar">
    <w:name w:val="No Spacing Char"/>
    <w:link w:val="NoSpacing"/>
    <w:uiPriority w:val="1"/>
    <w:rsid w:val="00931D27"/>
    <w:rPr>
      <w:rFonts w:ascii="Calibri" w:hAnsi="Calibri"/>
      <w:sz w:val="22"/>
      <w:szCs w:val="22"/>
      <w:lang w:val="en-US" w:eastAsia="en-US" w:bidi="ar-SA"/>
    </w:rPr>
  </w:style>
  <w:style w:type="paragraph" w:styleId="BalloonText">
    <w:name w:val="Balloon Text"/>
    <w:basedOn w:val="Normal"/>
    <w:link w:val="BalloonTextChar"/>
    <w:rsid w:val="00931D27"/>
    <w:rPr>
      <w:rFonts w:ascii="Tahoma" w:hAnsi="Tahoma"/>
      <w:sz w:val="16"/>
      <w:szCs w:val="16"/>
      <w:lang w:val="x-none" w:eastAsia="x-none"/>
    </w:rPr>
  </w:style>
  <w:style w:type="character" w:customStyle="1" w:styleId="BalloonTextChar">
    <w:name w:val="Balloon Text Char"/>
    <w:link w:val="BalloonText"/>
    <w:rsid w:val="00931D27"/>
    <w:rPr>
      <w:rFonts w:ascii="Tahoma" w:hAnsi="Tahoma" w:cs="Tahoma"/>
      <w:sz w:val="16"/>
      <w:szCs w:val="16"/>
    </w:rPr>
  </w:style>
  <w:style w:type="paragraph" w:customStyle="1" w:styleId="Default">
    <w:name w:val="Default"/>
    <w:rsid w:val="009348F3"/>
    <w:pPr>
      <w:autoSpaceDE w:val="0"/>
      <w:autoSpaceDN w:val="0"/>
      <w:adjustRightInd w:val="0"/>
    </w:pPr>
    <w:rPr>
      <w:color w:val="000000"/>
      <w:sz w:val="24"/>
      <w:szCs w:val="24"/>
    </w:rPr>
  </w:style>
  <w:style w:type="character" w:customStyle="1" w:styleId="Heading2Char">
    <w:name w:val="Heading 2 Char"/>
    <w:link w:val="Heading2"/>
    <w:rsid w:val="00C4732D"/>
    <w:rPr>
      <w:rFonts w:ascii="Arial" w:hAnsi="Arial"/>
      <w:b/>
      <w:i/>
      <w:sz w:val="24"/>
    </w:rPr>
  </w:style>
  <w:style w:type="table" w:styleId="TableGrid">
    <w:name w:val="Table Grid"/>
    <w:basedOn w:val="TableNormal"/>
    <w:rsid w:val="00C3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eldText">
    <w:name w:val="FieldText"/>
    <w:basedOn w:val="Normal"/>
    <w:rsid w:val="00C309DC"/>
    <w:pPr>
      <w:widowControl w:val="0"/>
    </w:pPr>
    <w:rPr>
      <w:rFonts w:ascii="Arial" w:hAnsi="Arial"/>
      <w:sz w:val="20"/>
      <w:szCs w:val="20"/>
    </w:rPr>
  </w:style>
  <w:style w:type="paragraph" w:customStyle="1" w:styleId="ColorfulList-Accent11">
    <w:name w:val="Colorful List - Accent 11"/>
    <w:basedOn w:val="Normal"/>
    <w:uiPriority w:val="34"/>
    <w:qFormat/>
    <w:rsid w:val="00DC0280"/>
    <w:pPr>
      <w:ind w:left="720"/>
      <w:contextualSpacing/>
    </w:pPr>
  </w:style>
  <w:style w:type="character" w:styleId="FollowedHyperlink">
    <w:name w:val="FollowedHyperlink"/>
    <w:rsid w:val="0082321D"/>
    <w:rPr>
      <w:color w:val="800080"/>
      <w:u w:val="single"/>
    </w:rPr>
  </w:style>
  <w:style w:type="paragraph" w:customStyle="1" w:styleId="Header-Left">
    <w:name w:val="Header-Left"/>
    <w:basedOn w:val="Normal"/>
    <w:rsid w:val="00AA2EA9"/>
    <w:pPr>
      <w:spacing w:after="200"/>
      <w:ind w:left="43"/>
    </w:pPr>
    <w:rPr>
      <w:rFonts w:ascii="Rockwell" w:eastAsia="ＭＳ ゴシック" w:hAnsi="Rockwell"/>
      <w:color w:val="663366"/>
      <w:sz w:val="48"/>
    </w:rPr>
  </w:style>
  <w:style w:type="table" w:customStyle="1" w:styleId="HostTable-Borderless">
    <w:name w:val="Host Table - Borderless"/>
    <w:basedOn w:val="TableNormal"/>
    <w:rsid w:val="00AA2EA9"/>
    <w:rPr>
      <w:rFonts w:ascii="Rockwell" w:eastAsia="ＭＳ ゴシック" w:hAnsi="Rockwell"/>
      <w:sz w:val="22"/>
      <w:szCs w:val="22"/>
    </w:rPr>
    <w:tblPr>
      <w:tblInd w:w="0" w:type="dxa"/>
      <w:tblCellMar>
        <w:top w:w="0" w:type="dxa"/>
        <w:left w:w="0" w:type="dxa"/>
        <w:bottom w:w="0" w:type="dxa"/>
        <w:right w:w="0" w:type="dxa"/>
      </w:tblCellMar>
    </w:tblPr>
  </w:style>
  <w:style w:type="character" w:customStyle="1" w:styleId="FooterChar">
    <w:name w:val="Footer Char"/>
    <w:link w:val="Footer"/>
    <w:rsid w:val="00AA2EA9"/>
    <w:rPr>
      <w:sz w:val="24"/>
      <w:szCs w:val="24"/>
    </w:rPr>
  </w:style>
  <w:style w:type="paragraph" w:styleId="Title">
    <w:name w:val="Title"/>
    <w:basedOn w:val="Normal"/>
    <w:link w:val="TitleChar"/>
    <w:qFormat/>
    <w:rsid w:val="00A06177"/>
    <w:pPr>
      <w:tabs>
        <w:tab w:val="center" w:pos="4680"/>
      </w:tabs>
      <w:suppressAutoHyphens/>
      <w:jc w:val="center"/>
    </w:pPr>
    <w:rPr>
      <w:b/>
      <w:sz w:val="20"/>
      <w:szCs w:val="20"/>
    </w:rPr>
  </w:style>
  <w:style w:type="character" w:customStyle="1" w:styleId="TitleChar">
    <w:name w:val="Title Char"/>
    <w:basedOn w:val="DefaultParagraphFont"/>
    <w:link w:val="Title"/>
    <w:rsid w:val="00A06177"/>
    <w:rPr>
      <w:b/>
    </w:rPr>
  </w:style>
  <w:style w:type="paragraph" w:customStyle="1" w:styleId="indent">
    <w:name w:val="indent"/>
    <w:basedOn w:val="Normal"/>
    <w:rsid w:val="00A06177"/>
    <w:pPr>
      <w:tabs>
        <w:tab w:val="left" w:pos="-1800"/>
        <w:tab w:val="left" w:pos="-1080"/>
        <w:tab w:val="left" w:pos="-360"/>
        <w:tab w:val="left" w:pos="0"/>
        <w:tab w:val="left" w:pos="180"/>
        <w:tab w:val="left" w:pos="450"/>
        <w:tab w:val="left" w:pos="1560"/>
        <w:tab w:val="left" w:pos="5400"/>
      </w:tabs>
      <w:suppressAutoHyphens/>
      <w:ind w:left="450" w:right="360" w:hanging="450"/>
    </w:pPr>
    <w:rPr>
      <w:rFonts w:ascii="Book Antiqua" w:hAnsi="Book Antiqua"/>
      <w:sz w:val="20"/>
      <w:szCs w:val="20"/>
    </w:rPr>
  </w:style>
  <w:style w:type="paragraph" w:customStyle="1" w:styleId="indent2">
    <w:name w:val="indent2"/>
    <w:basedOn w:val="indent"/>
    <w:rsid w:val="00A06177"/>
    <w:pPr>
      <w:tabs>
        <w:tab w:val="clear" w:pos="450"/>
        <w:tab w:val="left" w:pos="900"/>
      </w:tabs>
      <w:ind w:left="900" w:right="864" w:hanging="900"/>
    </w:pPr>
  </w:style>
  <w:style w:type="paragraph" w:styleId="ListParagraph">
    <w:name w:val="List Paragraph"/>
    <w:basedOn w:val="Normal"/>
    <w:uiPriority w:val="34"/>
    <w:qFormat/>
    <w:rsid w:val="005A1C5E"/>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5A1C5E"/>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A1C5E"/>
    <w:rPr>
      <w:rFonts w:asciiTheme="minorHAnsi" w:eastAsiaTheme="minorEastAsia" w:hAnsiTheme="minorHAnsi" w:cstheme="minorBidi"/>
      <w:b/>
      <w:bCs/>
      <w:i/>
      <w:iCs/>
      <w:color w:val="4F81BD" w:themeColor="accent1"/>
      <w:sz w:val="24"/>
      <w:szCs w:val="24"/>
    </w:rPr>
  </w:style>
  <w:style w:type="character" w:styleId="IntenseEmphasis">
    <w:name w:val="Intense Emphasis"/>
    <w:basedOn w:val="DefaultParagraphFont"/>
    <w:uiPriority w:val="21"/>
    <w:qFormat/>
    <w:rsid w:val="007E76E0"/>
    <w:rPr>
      <w:b/>
      <w:bCs/>
      <w:i/>
      <w:iCs/>
      <w:color w:val="4F81BD" w:themeColor="accent1"/>
    </w:rPr>
  </w:style>
  <w:style w:type="character" w:styleId="Emphasis">
    <w:name w:val="Emphasis"/>
    <w:basedOn w:val="DefaultParagraphFont"/>
    <w:qFormat/>
    <w:rsid w:val="007E76E0"/>
    <w:rPr>
      <w:i/>
      <w:iCs/>
    </w:rPr>
  </w:style>
  <w:style w:type="character" w:styleId="Strong">
    <w:name w:val="Strong"/>
    <w:basedOn w:val="DefaultParagraphFont"/>
    <w:qFormat/>
    <w:rsid w:val="00573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muhammad@aglobalhf.org" TargetMode="External"/><Relationship Id="rId9" Type="http://schemas.openxmlformats.org/officeDocument/2006/relationships/hyperlink" Target="mailto:maketch@aglobalhf.org" TargetMode="Externa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aglobalh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E7F0C-74CF-0547-B5C5-F23A5878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2786</Characters>
  <Application>Microsoft Macintosh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Strengthening Lab Management Towards Accreditation (SLMTA) Consultant Trip Report</vt:lpstr>
    </vt:vector>
  </TitlesOfParts>
  <Company>American Society for Clinical Pathology</Company>
  <LinksUpToDate>false</LinksUpToDate>
  <CharactersWithSpaces>3330</CharactersWithSpaces>
  <SharedDoc>false</SharedDoc>
  <HLinks>
    <vt:vector size="6" baseType="variant">
      <vt:variant>
        <vt:i4>4587533</vt:i4>
      </vt:variant>
      <vt:variant>
        <vt:i4>5</vt:i4>
      </vt:variant>
      <vt:variant>
        <vt:i4>0</vt:i4>
      </vt:variant>
      <vt:variant>
        <vt:i4>5</vt:i4>
      </vt:variant>
      <vt:variant>
        <vt:lpwstr>http://www.aglobalhf.org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Lab Management Towards Accreditation (SLMTA) Consultant Trip Report</dc:title>
  <dc:subject>{Instert type of activity; country &amp; dates of the trip here}</dc:subject>
  <dc:creator>{Insert name and title}</dc:creator>
  <cp:keywords/>
  <cp:lastModifiedBy>Maryanne Otieno</cp:lastModifiedBy>
  <cp:revision>3</cp:revision>
  <cp:lastPrinted>2016-07-12T16:53:00Z</cp:lastPrinted>
  <dcterms:created xsi:type="dcterms:W3CDTF">2016-07-14T02:36:00Z</dcterms:created>
  <dcterms:modified xsi:type="dcterms:W3CDTF">2016-07-14T02:37:00Z</dcterms:modified>
</cp:coreProperties>
</file>